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广灵县人民政府</w:t>
      </w:r>
    </w:p>
    <w:p>
      <w:pPr>
        <w:jc w:val="center"/>
        <w:rPr>
          <w:rFonts w:hint="eastAsia"/>
          <w:sz w:val="44"/>
          <w:szCs w:val="44"/>
          <w:lang w:val="en-US" w:eastAsia="zh-CN"/>
        </w:rPr>
      </w:pPr>
      <w:r>
        <w:rPr>
          <w:rFonts w:hint="eastAsia"/>
          <w:sz w:val="44"/>
          <w:szCs w:val="44"/>
          <w:lang w:val="en-US" w:eastAsia="zh-CN"/>
        </w:rPr>
        <w:t>关于公布实施广灵县集体建设用地土地定级与基准地价的通知</w:t>
      </w:r>
    </w:p>
    <w:p>
      <w:pPr>
        <w:rPr>
          <w:rFonts w:hint="eastAsia"/>
          <w:sz w:val="28"/>
          <w:szCs w:val="28"/>
        </w:rPr>
      </w:pPr>
    </w:p>
    <w:p>
      <w:pPr>
        <w:jc w:val="left"/>
        <w:rPr>
          <w:rFonts w:hint="default"/>
          <w:sz w:val="28"/>
          <w:szCs w:val="28"/>
          <w:lang w:val="en-US" w:eastAsia="zh-CN"/>
        </w:rPr>
      </w:pPr>
      <w:r>
        <w:rPr>
          <w:rFonts w:hint="default"/>
          <w:sz w:val="28"/>
          <w:szCs w:val="28"/>
          <w:lang w:val="en-US" w:eastAsia="zh-CN"/>
        </w:rPr>
        <w:t>各乡（镇）人民政府，</w:t>
      </w:r>
      <w:r>
        <w:rPr>
          <w:rFonts w:hint="eastAsia"/>
          <w:sz w:val="28"/>
          <w:szCs w:val="28"/>
          <w:lang w:val="en-US" w:eastAsia="zh-CN"/>
        </w:rPr>
        <w:t>县直各</w:t>
      </w:r>
      <w:r>
        <w:rPr>
          <w:rFonts w:hint="default"/>
          <w:sz w:val="28"/>
          <w:szCs w:val="28"/>
          <w:lang w:val="en-US" w:eastAsia="zh-CN"/>
        </w:rPr>
        <w:t>有关单位：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sz w:val="28"/>
          <w:szCs w:val="28"/>
          <w:lang w:val="en-US" w:eastAsia="zh-CN"/>
        </w:rPr>
      </w:pPr>
      <w:r>
        <w:rPr>
          <w:rFonts w:hint="eastAsia"/>
          <w:sz w:val="28"/>
          <w:szCs w:val="28"/>
          <w:lang w:val="en-US" w:eastAsia="zh-CN"/>
        </w:rPr>
        <w:t>广灵县集体建设用地土地定级与</w:t>
      </w:r>
      <w:r>
        <w:rPr>
          <w:rFonts w:hint="default"/>
          <w:sz w:val="28"/>
          <w:szCs w:val="28"/>
          <w:lang w:val="en-US" w:eastAsia="zh-CN"/>
        </w:rPr>
        <w:t>基准地价成果</w:t>
      </w:r>
      <w:r>
        <w:rPr>
          <w:rFonts w:hint="eastAsia"/>
          <w:sz w:val="28"/>
          <w:szCs w:val="28"/>
          <w:lang w:val="en-US" w:eastAsia="zh-CN"/>
        </w:rPr>
        <w:t>已</w:t>
      </w:r>
      <w:r>
        <w:rPr>
          <w:rFonts w:hint="default"/>
          <w:sz w:val="28"/>
          <w:szCs w:val="28"/>
          <w:lang w:val="en-US" w:eastAsia="zh-CN"/>
        </w:rPr>
        <w:t>经山西省自然资源厅</w:t>
      </w:r>
      <w:r>
        <w:rPr>
          <w:rFonts w:hint="eastAsia"/>
          <w:sz w:val="28"/>
          <w:szCs w:val="28"/>
          <w:lang w:val="en-US" w:eastAsia="zh-CN"/>
        </w:rPr>
        <w:t>《关于阳高县等公示地价制定结果的批复》（</w:t>
      </w:r>
      <w:r>
        <w:rPr>
          <w:rFonts w:hint="default"/>
          <w:sz w:val="28"/>
          <w:szCs w:val="28"/>
          <w:lang w:val="en-US" w:eastAsia="zh-CN"/>
        </w:rPr>
        <w:t>晋自然资技审</w:t>
      </w:r>
      <w:r>
        <w:rPr>
          <w:rFonts w:hint="eastAsia" w:ascii="仿宋" w:hAnsi="仿宋" w:eastAsia="仿宋" w:cs="仿宋"/>
          <w:sz w:val="28"/>
          <w:szCs w:val="28"/>
          <w:lang w:val="en-US" w:eastAsia="zh-CN"/>
        </w:rPr>
        <w:t>〔2023〕68</w:t>
      </w:r>
      <w:r>
        <w:rPr>
          <w:rFonts w:hint="default"/>
          <w:sz w:val="28"/>
          <w:szCs w:val="28"/>
          <w:lang w:val="en-US" w:eastAsia="zh-CN"/>
        </w:rPr>
        <w:t>号</w:t>
      </w:r>
      <w:r>
        <w:rPr>
          <w:rFonts w:hint="eastAsia"/>
          <w:sz w:val="28"/>
          <w:szCs w:val="28"/>
          <w:lang w:val="en-US" w:eastAsia="zh-CN"/>
        </w:rPr>
        <w:t>）</w:t>
      </w:r>
      <w:r>
        <w:rPr>
          <w:rFonts w:hint="default"/>
          <w:sz w:val="28"/>
          <w:szCs w:val="28"/>
          <w:lang w:val="en-US" w:eastAsia="zh-CN"/>
        </w:rPr>
        <w:t>批复予以验收通过。经县政府</w:t>
      </w:r>
      <w:r>
        <w:rPr>
          <w:rFonts w:hint="eastAsia"/>
          <w:sz w:val="28"/>
          <w:szCs w:val="28"/>
          <w:lang w:val="en-US" w:eastAsia="zh-CN"/>
        </w:rPr>
        <w:t>研究</w:t>
      </w:r>
      <w:r>
        <w:rPr>
          <w:rFonts w:hint="default"/>
          <w:sz w:val="28"/>
          <w:szCs w:val="28"/>
          <w:lang w:val="en-US" w:eastAsia="zh-CN"/>
        </w:rPr>
        <w:t>予以公布</w:t>
      </w:r>
      <w:r>
        <w:rPr>
          <w:rFonts w:hint="eastAsia"/>
          <w:sz w:val="28"/>
          <w:szCs w:val="28"/>
          <w:lang w:val="en-US" w:eastAsia="zh-CN"/>
        </w:rPr>
        <w:t>实施，现就有关事项通知如下：</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eastAsia"/>
          <w:sz w:val="28"/>
          <w:szCs w:val="28"/>
          <w:lang w:val="en-US" w:eastAsia="zh-CN"/>
        </w:rPr>
        <w:t>本次定级范围以广灵</w:t>
      </w:r>
      <w:r>
        <w:rPr>
          <w:rFonts w:hint="default" w:ascii="Times New Roman" w:hAnsi="Times New Roman" w:cs="Times New Roman"/>
          <w:sz w:val="28"/>
          <w:szCs w:val="28"/>
          <w:lang w:val="en-US" w:eastAsia="zh-CN"/>
        </w:rPr>
        <w:t>县2020年度国土变更调查成果数据为基础，扣除纳入广灵县城镇基准地价定级范围，具体范围见附件1。</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集体建设用地基准地价可以直接服务于农村集体经营性建设用地入市，满足集体经营性建设用地出让、转让、抵押方面的地价评估及管理需求；可以为宅基地在集体经济组织内部转让、进城落户农民依法自愿有偿退出宅基地使用权补偿提供价格参考；可以为集体建设用地资产核算确定价值标准提供重要参考；同时可以为国土空间规划布局提供验证素材。</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本次集体建设用地基准地价内涵见附件2.</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本次集体建设用地估价级别共划分三个等级，具体见附件3。</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本通知由县自然资源局负责解释。</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本通知公布的集体建设用地基准地价自发布之日起执行。</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附件：1</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广灵县集体建设用地级别范围表</w:t>
      </w:r>
    </w:p>
    <w:p>
      <w:pPr>
        <w:keepNext w:val="0"/>
        <w:keepLines w:val="0"/>
        <w:pageBreakBefore w:val="0"/>
        <w:widowControl w:val="0"/>
        <w:numPr>
          <w:ilvl w:val="0"/>
          <w:numId w:val="0"/>
        </w:numPr>
        <w:kinsoku/>
        <w:wordWrap/>
        <w:overflowPunct/>
        <w:topLinePunct w:val="0"/>
        <w:autoSpaceDE/>
        <w:autoSpaceDN/>
        <w:bidi w:val="0"/>
        <w:adjustRightInd/>
        <w:snapToGrid/>
        <w:ind w:firstLine="1400" w:firstLineChars="500"/>
        <w:jc w:val="left"/>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广灵县集体建设用地基准地价内涵</w:t>
      </w:r>
    </w:p>
    <w:p>
      <w:pPr>
        <w:keepNext w:val="0"/>
        <w:keepLines w:val="0"/>
        <w:pageBreakBefore w:val="0"/>
        <w:widowControl w:val="0"/>
        <w:numPr>
          <w:ilvl w:val="0"/>
          <w:numId w:val="0"/>
        </w:numPr>
        <w:kinsoku/>
        <w:wordWrap/>
        <w:overflowPunct/>
        <w:topLinePunct w:val="0"/>
        <w:autoSpaceDE/>
        <w:autoSpaceDN/>
        <w:bidi w:val="0"/>
        <w:adjustRightInd/>
        <w:snapToGrid/>
        <w:ind w:firstLine="1400" w:firstLineChars="500"/>
        <w:jc w:val="left"/>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广灵县集体建设用地基准地价表</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sz w:val="28"/>
          <w:szCs w:val="28"/>
          <w:lang w:val="en-US" w:eastAsia="zh-CN"/>
        </w:rPr>
      </w:pPr>
      <w:r>
        <w:rPr>
          <w:rFonts w:hint="eastAsia"/>
          <w:sz w:val="28"/>
          <w:szCs w:val="28"/>
          <w:lang w:val="en-US" w:eastAsia="zh-CN"/>
        </w:rPr>
        <w:t xml:space="preserve">                                      广灵县人民政府</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cs="Times New Roman"/>
          <w:sz w:val="28"/>
          <w:szCs w:val="28"/>
          <w:lang w:val="en-US" w:eastAsia="zh-CN"/>
        </w:rPr>
        <w:t xml:space="preserve">                                       </w:t>
      </w:r>
      <w:bookmarkStart w:id="0" w:name="_GoBack"/>
      <w:bookmarkEnd w:id="0"/>
      <w:r>
        <w:rPr>
          <w:rFonts w:hint="default" w:ascii="Times New Roman" w:hAnsi="Times New Roman" w:cs="Times New Roman"/>
          <w:sz w:val="28"/>
          <w:szCs w:val="28"/>
          <w:lang w:val="en-US" w:eastAsia="zh-CN"/>
        </w:rPr>
        <w:t>2023年</w:t>
      </w:r>
      <w:r>
        <w:rPr>
          <w:rFonts w:hint="eastAsia" w:ascii="Times New Roman" w:hAnsi="Times New Roman" w:cs="Times New Roman"/>
          <w:sz w:val="28"/>
          <w:szCs w:val="28"/>
          <w:lang w:val="en-US" w:eastAsia="zh-CN"/>
        </w:rPr>
        <w:t>12</w:t>
      </w:r>
      <w:r>
        <w:rPr>
          <w:rFonts w:hint="default" w:ascii="Times New Roman" w:hAnsi="Times New Roman" w:cs="Times New Roman"/>
          <w:sz w:val="28"/>
          <w:szCs w:val="28"/>
          <w:lang w:val="en-US" w:eastAsia="zh-CN"/>
        </w:rPr>
        <w:t>月</w:t>
      </w:r>
      <w:r>
        <w:rPr>
          <w:rFonts w:hint="eastAsia" w:ascii="Times New Roman" w:hAnsi="Times New Roman" w:cs="Times New Roman"/>
          <w:sz w:val="28"/>
          <w:szCs w:val="28"/>
          <w:lang w:val="en-US" w:eastAsia="zh-CN"/>
        </w:rPr>
        <w:t xml:space="preserve">15 </w:t>
      </w:r>
      <w:r>
        <w:rPr>
          <w:rFonts w:hint="default" w:ascii="Times New Roman" w:hAnsi="Times New Roman" w:cs="Times New Roman"/>
          <w:sz w:val="28"/>
          <w:szCs w:val="28"/>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sz w:val="28"/>
          <w:szCs w:val="28"/>
          <w:lang w:val="en-US" w:eastAsia="zh-CN"/>
        </w:rPr>
      </w:pPr>
      <w:r>
        <w:rPr>
          <w:rFonts w:hint="eastAsia"/>
          <w:sz w:val="28"/>
          <w:szCs w:val="28"/>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sz w:val="28"/>
          <w:szCs w:val="28"/>
          <w:lang w:val="en-US" w:eastAsia="zh-CN"/>
        </w:rPr>
      </w:pPr>
      <w:r>
        <w:rPr>
          <w:rFonts w:hint="eastAsia"/>
          <w:sz w:val="28"/>
          <w:szCs w:val="28"/>
          <w:lang w:val="en-US" w:eastAsia="zh-CN"/>
        </w:rPr>
        <w:t>广灵县集体建设用地定级面积表</w:t>
      </w:r>
    </w:p>
    <w:tbl>
      <w:tblPr>
        <w:tblStyle w:val="5"/>
        <w:tblW w:w="0" w:type="auto"/>
        <w:jc w:val="center"/>
        <w:tblLayout w:type="fixed"/>
        <w:tblCellMar>
          <w:top w:w="0" w:type="dxa"/>
          <w:left w:w="0" w:type="dxa"/>
          <w:bottom w:w="0" w:type="dxa"/>
          <w:right w:w="0" w:type="dxa"/>
        </w:tblCellMar>
      </w:tblPr>
      <w:tblGrid>
        <w:gridCol w:w="1849"/>
        <w:gridCol w:w="2409"/>
        <w:gridCol w:w="1134"/>
        <w:gridCol w:w="1134"/>
        <w:gridCol w:w="1134"/>
        <w:gridCol w:w="1134"/>
      </w:tblGrid>
      <w:tr>
        <w:tblPrEx>
          <w:tblCellMar>
            <w:top w:w="0" w:type="dxa"/>
            <w:left w:w="0" w:type="dxa"/>
            <w:bottom w:w="0" w:type="dxa"/>
            <w:right w:w="0" w:type="dxa"/>
          </w:tblCellMar>
        </w:tblPrEx>
        <w:trPr>
          <w:trHeight w:val="397" w:hRule="atLeast"/>
          <w:jc w:val="center"/>
        </w:trPr>
        <w:tc>
          <w:tcPr>
            <w:tcW w:w="425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地类</w:t>
            </w:r>
          </w:p>
        </w:tc>
        <w:tc>
          <w:tcPr>
            <w:tcW w:w="340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各级别面积（公顷）</w:t>
            </w:r>
          </w:p>
        </w:tc>
        <w:tc>
          <w:tcPr>
            <w:tcW w:w="1134"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总面积</w:t>
            </w:r>
          </w:p>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（公顷）</w:t>
            </w:r>
          </w:p>
        </w:tc>
      </w:tr>
      <w:tr>
        <w:tblPrEx>
          <w:tblCellMar>
            <w:top w:w="0" w:type="dxa"/>
            <w:left w:w="0" w:type="dxa"/>
            <w:bottom w:w="0" w:type="dxa"/>
            <w:right w:w="0" w:type="dxa"/>
          </w:tblCellMar>
        </w:tblPrEx>
        <w:trPr>
          <w:trHeight w:val="397" w:hRule="atLeast"/>
          <w:jc w:val="center"/>
        </w:trPr>
        <w:tc>
          <w:tcPr>
            <w:tcW w:w="18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一级类</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二级类</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Ⅰ级</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Ⅱ级</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Ⅲ级</w:t>
            </w:r>
          </w:p>
        </w:tc>
        <w:tc>
          <w:tcPr>
            <w:tcW w:w="1134"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商业服务业用地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商业服务业设施用地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31.2615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43.0427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0.1782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74.4824</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物流仓储用地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4.7174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18.5591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1.2829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24.5594</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35.9789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61.6018</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1.4611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99.0418</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工矿用地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工业用地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16.6354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55.8838</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6.6399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79.1591</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采矿用地</w:t>
            </w: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45.3048</w:t>
            </w: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633.8086</w:t>
            </w: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59.8976</w:t>
            </w:r>
          </w:p>
        </w:tc>
        <w:tc>
          <w:tcPr>
            <w:tcW w:w="11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739.011</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61.9402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689.6924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66.5375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818.1701</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住宅用地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农村宅基地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446.911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1692.3679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177.821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2317.0999</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446.911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1692.3679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177.821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2317.0999</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公共管理与公共服务用地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机关团体新闻出版用地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10.71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20.5655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3.1752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34.4507</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科教文卫用地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27.1825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40.5471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1.9169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69.6465</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公用设施用地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7.1741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10.1943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1.8939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19.2623</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公园与绿地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1.3914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5.991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0.4584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7.8408</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广场用地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1.7737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6.3244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1.5431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9.6412</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48.2317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83.6223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8.9875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140.8415</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特殊用地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特殊用地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82.5709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116.3848</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16.8064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215.7621</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82.5709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116.3848</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16.8064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215.7621</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交通运输用地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公路用地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46.9892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224.4725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124.8529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396.3146</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城镇村道路用地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25.6203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86.8274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6.386</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118.8337</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交通服务场站用地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7.0542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7.6972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0.8613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15.6127</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79.6637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318.9971</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132.1002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530.761</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水域及水利设施用地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水工建筑用地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19.7627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5.8869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0.7383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26.3879</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19.7627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5.8869</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0.7383</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26.3879</w:t>
            </w:r>
          </w:p>
        </w:tc>
      </w:tr>
      <w:tr>
        <w:tblPrEx>
          <w:tblCellMar>
            <w:top w:w="0" w:type="dxa"/>
            <w:left w:w="0" w:type="dxa"/>
            <w:bottom w:w="0" w:type="dxa"/>
            <w:right w:w="0" w:type="dxa"/>
          </w:tblCellMar>
        </w:tblPrEx>
        <w:trPr>
          <w:trHeight w:val="397" w:hRule="atLeast"/>
          <w:jc w:val="center"/>
        </w:trPr>
        <w:tc>
          <w:tcPr>
            <w:tcW w:w="184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其他土地</w:t>
            </w: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空闲地</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2.4045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16.0272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0.5277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18.9594</w:t>
            </w:r>
          </w:p>
        </w:tc>
      </w:tr>
      <w:tr>
        <w:tblPrEx>
          <w:tblCellMar>
            <w:top w:w="0" w:type="dxa"/>
            <w:left w:w="0" w:type="dxa"/>
            <w:bottom w:w="0" w:type="dxa"/>
            <w:right w:w="0" w:type="dxa"/>
          </w:tblCellMar>
        </w:tblPrEx>
        <w:trPr>
          <w:trHeight w:val="397" w:hRule="atLeast"/>
          <w:jc w:val="center"/>
        </w:trPr>
        <w:tc>
          <w:tcPr>
            <w:tcW w:w="184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p>
        </w:tc>
        <w:tc>
          <w:tcPr>
            <w:tcW w:w="24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ascii="Times New Roman" w:hAnsi="Times New Roman" w:eastAsia="仿宋_GB2312" w:cs="Times New Roman"/>
                <w:color w:val="auto"/>
                <w:kern w:val="0"/>
                <w:sz w:val="20"/>
                <w:szCs w:val="20"/>
                <w:lang w:eastAsia="zh-CN" w:bidi="ar"/>
              </w:rPr>
              <w:t>小计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2.4045</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16.0272</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0.5277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18.9594</w:t>
            </w:r>
          </w:p>
        </w:tc>
      </w:tr>
      <w:tr>
        <w:tblPrEx>
          <w:tblCellMar>
            <w:top w:w="0" w:type="dxa"/>
            <w:left w:w="0" w:type="dxa"/>
            <w:bottom w:w="0" w:type="dxa"/>
            <w:right w:w="0" w:type="dxa"/>
          </w:tblCellMar>
        </w:tblPrEx>
        <w:trPr>
          <w:trHeight w:val="397" w:hRule="atLeast"/>
          <w:jc w:val="center"/>
        </w:trPr>
        <w:tc>
          <w:tcPr>
            <w:tcW w:w="425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总计</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auto"/>
                <w:kern w:val="0"/>
                <w:sz w:val="20"/>
                <w:szCs w:val="20"/>
                <w:lang w:eastAsia="zh-CN" w:bidi="ar"/>
              </w:rPr>
            </w:pPr>
            <w:r>
              <w:rPr>
                <w:rFonts w:hint="default" w:ascii="Times New Roman" w:hAnsi="Times New Roman" w:eastAsia="仿宋_GB2312" w:cs="Times New Roman"/>
                <w:color w:val="auto"/>
                <w:kern w:val="0"/>
                <w:sz w:val="20"/>
                <w:szCs w:val="20"/>
                <w:lang w:eastAsia="zh-CN" w:bidi="ar"/>
              </w:rPr>
              <w:t>777.4636</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2984.5804</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404.9797</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4167.0237</w:t>
            </w:r>
          </w:p>
        </w:tc>
      </w:tr>
    </w:tbl>
    <w:p>
      <w:pPr>
        <w:rPr>
          <w:rFonts w:hint="eastAsia"/>
          <w:sz w:val="28"/>
          <w:szCs w:val="28"/>
          <w:lang w:val="en-US" w:eastAsia="zh-CN"/>
        </w:rPr>
      </w:pPr>
      <w:r>
        <w:rPr>
          <w:rFonts w:hint="eastAsia"/>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sz w:val="28"/>
          <w:szCs w:val="28"/>
          <w:lang w:val="en-US" w:eastAsia="zh-CN"/>
        </w:rPr>
      </w:pPr>
      <w:r>
        <w:rPr>
          <w:rFonts w:hint="eastAsia"/>
          <w:sz w:val="28"/>
          <w:szCs w:val="28"/>
          <w:lang w:val="en-US" w:eastAsia="zh-CN"/>
        </w:rPr>
        <w:t>广灵县集体建设用地级别范围表</w:t>
      </w:r>
    </w:p>
    <w:tbl>
      <w:tblPr>
        <w:tblStyle w:val="5"/>
        <w:tblW w:w="9745" w:type="dxa"/>
        <w:jc w:val="center"/>
        <w:tblLayout w:type="fixed"/>
        <w:tblCellMar>
          <w:top w:w="0" w:type="dxa"/>
          <w:left w:w="0" w:type="dxa"/>
          <w:bottom w:w="0" w:type="dxa"/>
          <w:right w:w="0" w:type="dxa"/>
        </w:tblCellMar>
      </w:tblPr>
      <w:tblGrid>
        <w:gridCol w:w="735"/>
        <w:gridCol w:w="1348"/>
        <w:gridCol w:w="7662"/>
      </w:tblGrid>
      <w:tr>
        <w:tblPrEx>
          <w:tblCellMar>
            <w:top w:w="0" w:type="dxa"/>
            <w:left w:w="0" w:type="dxa"/>
            <w:bottom w:w="0" w:type="dxa"/>
            <w:right w:w="0" w:type="dxa"/>
          </w:tblCellMar>
        </w:tblPrEx>
        <w:trPr>
          <w:trHeight w:val="546" w:hRule="atLeast"/>
          <w:tblHeader/>
          <w:jc w:val="center"/>
        </w:trPr>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级别</w:t>
            </w: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乡镇</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涉及行政村</w:t>
            </w:r>
          </w:p>
        </w:tc>
      </w:tr>
      <w:tr>
        <w:tblPrEx>
          <w:tblCellMar>
            <w:top w:w="0" w:type="dxa"/>
            <w:left w:w="0" w:type="dxa"/>
            <w:bottom w:w="0" w:type="dxa"/>
            <w:right w:w="0" w:type="dxa"/>
          </w:tblCellMar>
        </w:tblPrEx>
        <w:trPr>
          <w:trHeight w:val="546" w:hRule="atLeast"/>
          <w:tblHeader/>
          <w:jc w:val="center"/>
        </w:trPr>
        <w:tc>
          <w:tcPr>
            <w:tcW w:w="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Ⅰ</w:t>
            </w: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壶泉镇</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北道岩，北关，城新，稻地，蕙花，南关，三庄，沙河，商村，西关，西河洼，西河乡，翟疃</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加斗乡</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西加斗，南加斗</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蕉山乡</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八角地，东蕉山东堡，东蕉山西堡，南蕉山，西蕉山1，西崖头，中蕉山</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南村镇</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南村1</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作疃乡</w:t>
            </w:r>
          </w:p>
        </w:tc>
        <w:tc>
          <w:tcPr>
            <w:tcW w:w="7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作疃西堡，作疃南庄，作疃东堡</w:t>
            </w:r>
          </w:p>
        </w:tc>
      </w:tr>
      <w:tr>
        <w:tblPrEx>
          <w:tblCellMar>
            <w:top w:w="0" w:type="dxa"/>
            <w:left w:w="0" w:type="dxa"/>
            <w:bottom w:w="0" w:type="dxa"/>
            <w:right w:w="0" w:type="dxa"/>
          </w:tblCellMar>
        </w:tblPrEx>
        <w:trPr>
          <w:trHeight w:val="546" w:hRule="atLeast"/>
          <w:tblHeader/>
          <w:jc w:val="center"/>
        </w:trPr>
        <w:tc>
          <w:tcPr>
            <w:tcW w:w="7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Ⅱ</w:t>
            </w: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壶泉镇</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白家坟，集兴疃，涧西，南汇，沙岭，尚疃，田窑，王洼堡，王洼西庄，吴家地，榆林堡，张庄，赵庄</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加斗乡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登场堡，东河乡，东加斗，东留疃，东石门，东姚疃，坡岩，西留疃，西石门，西姚疃，新上恩庄1，新下恩庄</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蕉山乡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曹川，东崖头，杜家庄，龙虎岩，罗疃，马山，西蕉山2，洗马庄，殷家庄</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梁庄乡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曹庄，底庄，冯庄东堡，黄龙，黄龙新庄，梁庄北堡，梁庄东堡，梁庄西堡，水涧</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南村镇</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鳌峪，白庄，北土岭，黑土洼，林关东庄，林关南庄，林关西庄，南土岭，莎泉东堡，莎泉西堡，莎泉中堡，上白羊，上林关，下白羊，张家洼，赵家坪，庄头</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望狐乡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望狐，吕家洼</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一斗泉乡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北岳庄，黑洼，后山窑，刘家湾，六咀，南岳庄，裴家洼，七咀，桃子村，头咀，一斗泉，榆林</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宜兴乡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苍耳洼，东宜兴，南房村，三间房，屯堡，西宜兴，宜兴庄1，直峪</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作疃乡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百疃东堡，百疃南庄，百疃西堡，曹窑，大西庄，憨崖洼，贺窑，将官庄，井之洼，平城北堡，平城南堡，邱家滩，宋窑，唐山口，杨窑，苑西庄，苑庄</w:t>
            </w:r>
          </w:p>
        </w:tc>
      </w:tr>
      <w:tr>
        <w:tblPrEx>
          <w:tblCellMar>
            <w:top w:w="0" w:type="dxa"/>
            <w:left w:w="0" w:type="dxa"/>
            <w:bottom w:w="0" w:type="dxa"/>
            <w:right w:w="0" w:type="dxa"/>
          </w:tblCellMar>
        </w:tblPrEx>
        <w:trPr>
          <w:trHeight w:val="546" w:hRule="atLeast"/>
          <w:tblHeader/>
          <w:jc w:val="center"/>
        </w:trPr>
        <w:tc>
          <w:tcPr>
            <w:tcW w:w="7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Ⅲ</w:t>
            </w: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加斗乡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新上恩庄2</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梁庄乡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井沟，井洼，刘家沟，木厂，南坪，土巷口，小关</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南村镇</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坟台沟，丰水岭，海子，狼虎坪，南村2，南寒水，念草沟，上墨家沟，上寺，神树沟，添涧，下麻黄沟，下墨家沟，香炉台，晏子，榆沟，翟子沟，周图寺，庄子沟</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望狐乡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车型堡，闯道坡，东福窑，国家眷，老茬，刘之进，刘庄，桥头，上窑，史家坪，宋家峪</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一斗泉乡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荆家窑，武家庄，板塔寺</w:t>
            </w:r>
          </w:p>
        </w:tc>
      </w:tr>
      <w:tr>
        <w:tblPrEx>
          <w:tblCellMar>
            <w:top w:w="0" w:type="dxa"/>
            <w:left w:w="0" w:type="dxa"/>
            <w:bottom w:w="0" w:type="dxa"/>
            <w:right w:w="0" w:type="dxa"/>
          </w:tblCellMar>
        </w:tblPrEx>
        <w:trPr>
          <w:trHeight w:val="546" w:hRule="atLeast"/>
          <w:tblHeader/>
          <w:jc w:val="center"/>
        </w:trPr>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p>
        </w:tc>
        <w:tc>
          <w:tcPr>
            <w:tcW w:w="13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宜兴乡</w:t>
            </w:r>
          </w:p>
        </w:tc>
        <w:tc>
          <w:tcPr>
            <w:tcW w:w="76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0"/>
                <w:szCs w:val="20"/>
                <w:lang w:eastAsia="zh-CN" w:bidi="ar"/>
              </w:rPr>
            </w:pPr>
            <w:r>
              <w:rPr>
                <w:rFonts w:hint="default" w:ascii="Times New Roman" w:hAnsi="Times New Roman" w:eastAsia="仿宋_GB2312" w:cs="Times New Roman"/>
                <w:color w:val="000000"/>
                <w:kern w:val="0"/>
                <w:sz w:val="20"/>
                <w:szCs w:val="20"/>
                <w:lang w:eastAsia="zh-CN" w:bidi="ar"/>
              </w:rPr>
              <w:t>冯家沟，南阁崖，聂家沟，上麻地沟，邵家庄，探堡，下麻地沟，宜兴庄2，张家湾</w:t>
            </w:r>
          </w:p>
        </w:tc>
      </w:tr>
    </w:tbl>
    <w:p>
      <w:pPr>
        <w:rPr>
          <w:rFonts w:hint="eastAsia"/>
          <w:sz w:val="28"/>
          <w:szCs w:val="28"/>
          <w:lang w:val="en-US" w:eastAsia="zh-CN"/>
        </w:rPr>
      </w:pPr>
    </w:p>
    <w:p>
      <w:pP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广灵县集体建设用地基准地价内涵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1.权利类型：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集体经营性建设用地基准地价为公开市场条件下的出让建设用地使用权市场价格；宅基地基准地价为合法合规的集体内部流转市场条件下的宅基地使用权流转价格。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2.土地使用年期：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集体商服用地40年，宅基地无限年期，集体工业用地50年。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指引》，商服用地和工业用地年期设定参照国有建设用地的法定最高出让年期。对于宅基地，其年期设定应与相关法律政策相衔接。因此土地使用权年期确定为商服用地40年、宅基地无年期限制、工业用地50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3.开发程度：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“四通一平”（宗地红线外供水、通电、通路、通讯，红线内场地平整）。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4.基准日：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2023年1月1日。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5.容积率：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lang w:val="en-US" w:eastAsia="zh-CN"/>
        </w:rPr>
      </w:pPr>
      <w:r>
        <w:rPr>
          <w:rFonts w:hint="default" w:ascii="Times New Roman" w:hAnsi="Times New Roman" w:cs="Times New Roman"/>
          <w:sz w:val="28"/>
          <w:szCs w:val="28"/>
          <w:lang w:val="en-US" w:eastAsia="zh-CN"/>
        </w:rPr>
        <w:t>商服用地1.2，宅基地0.8，工业用地1.0。</w:t>
      </w:r>
      <w:r>
        <w:rPr>
          <w:rFonts w:hint="eastAsia"/>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附件3</w:t>
      </w:r>
    </w:p>
    <w:p>
      <w:pPr>
        <w:spacing w:line="360" w:lineRule="auto"/>
        <w:jc w:val="center"/>
        <w:rPr>
          <w:rFonts w:eastAsia="黑体"/>
          <w:sz w:val="21"/>
          <w:szCs w:val="21"/>
          <w:lang w:eastAsia="zh-CN"/>
        </w:rPr>
      </w:pPr>
      <w:r>
        <w:rPr>
          <w:rFonts w:eastAsia="黑体"/>
          <w:sz w:val="21"/>
          <w:szCs w:val="21"/>
          <w:lang w:eastAsia="zh-CN"/>
        </w:rPr>
        <w:t>表</w:t>
      </w:r>
      <w:r>
        <w:rPr>
          <w:rFonts w:hint="eastAsia" w:eastAsia="黑体"/>
          <w:sz w:val="21"/>
          <w:szCs w:val="21"/>
          <w:lang w:val="en-US" w:eastAsia="zh-CN"/>
        </w:rPr>
        <w:t>1</w:t>
      </w:r>
      <w:r>
        <w:rPr>
          <w:rFonts w:eastAsia="黑体"/>
          <w:sz w:val="21"/>
          <w:szCs w:val="21"/>
          <w:lang w:eastAsia="zh-CN"/>
        </w:rPr>
        <w:t xml:space="preserve"> </w:t>
      </w:r>
      <w:r>
        <w:rPr>
          <w:rFonts w:hint="eastAsia" w:eastAsia="黑体"/>
          <w:sz w:val="21"/>
          <w:szCs w:val="21"/>
          <w:lang w:eastAsia="zh-CN"/>
        </w:rPr>
        <w:t>广灵县集体建设用地（商服用地）基准地价</w:t>
      </w:r>
      <w:r>
        <w:rPr>
          <w:rFonts w:hint="eastAsia" w:eastAsia="黑体"/>
          <w:sz w:val="21"/>
          <w:szCs w:val="21"/>
          <w:lang w:val="zh-CN" w:eastAsia="zh-CN"/>
        </w:rPr>
        <w:t>修正幅度值</w:t>
      </w:r>
    </w:p>
    <w:tbl>
      <w:tblPr>
        <w:tblStyle w:val="5"/>
        <w:tblW w:w="0" w:type="auto"/>
        <w:tblInd w:w="0" w:type="dxa"/>
        <w:tblLayout w:type="fixed"/>
        <w:tblCellMar>
          <w:top w:w="0" w:type="dxa"/>
          <w:left w:w="0" w:type="dxa"/>
          <w:bottom w:w="0" w:type="dxa"/>
          <w:right w:w="0" w:type="dxa"/>
        </w:tblCellMar>
      </w:tblPr>
      <w:tblGrid>
        <w:gridCol w:w="571"/>
        <w:gridCol w:w="962"/>
        <w:gridCol w:w="962"/>
        <w:gridCol w:w="964"/>
        <w:gridCol w:w="962"/>
        <w:gridCol w:w="962"/>
        <w:gridCol w:w="963"/>
        <w:gridCol w:w="963"/>
        <w:gridCol w:w="968"/>
      </w:tblGrid>
      <w:tr>
        <w:tblPrEx>
          <w:tblCellMar>
            <w:top w:w="0" w:type="dxa"/>
            <w:left w:w="0" w:type="dxa"/>
            <w:bottom w:w="0" w:type="dxa"/>
            <w:right w:w="0" w:type="dxa"/>
          </w:tblCellMar>
        </w:tblPrEx>
        <w:trPr>
          <w:trHeight w:val="397" w:hRule="atLeast"/>
        </w:trPr>
        <w:tc>
          <w:tcPr>
            <w:tcW w:w="57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级别</w:t>
            </w:r>
          </w:p>
        </w:tc>
        <w:tc>
          <w:tcPr>
            <w:tcW w:w="288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上限</w:t>
            </w:r>
          </w:p>
        </w:tc>
        <w:tc>
          <w:tcPr>
            <w:tcW w:w="192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基准地价</w:t>
            </w:r>
          </w:p>
        </w:tc>
        <w:tc>
          <w:tcPr>
            <w:tcW w:w="289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下限</w:t>
            </w:r>
          </w:p>
        </w:tc>
      </w:tr>
      <w:tr>
        <w:tblPrEx>
          <w:tblCellMar>
            <w:top w:w="0" w:type="dxa"/>
            <w:left w:w="0" w:type="dxa"/>
            <w:bottom w:w="0" w:type="dxa"/>
            <w:right w:w="0" w:type="dxa"/>
          </w:tblCellMar>
        </w:tblPrEx>
        <w:trPr>
          <w:trHeight w:val="397" w:hRule="atLeast"/>
        </w:trPr>
        <w:tc>
          <w:tcPr>
            <w:tcW w:w="57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仿宋_GB2312" w:cs="Times New Roman"/>
                <w:bCs/>
                <w:sz w:val="18"/>
                <w:szCs w:val="18"/>
              </w:rPr>
            </w:pP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上调幅度</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下调幅度</w:t>
            </w:r>
          </w:p>
        </w:tc>
      </w:tr>
      <w:tr>
        <w:tblPrEx>
          <w:tblCellMar>
            <w:top w:w="0" w:type="dxa"/>
            <w:left w:w="0" w:type="dxa"/>
            <w:bottom w:w="0" w:type="dxa"/>
            <w:right w:w="0" w:type="dxa"/>
          </w:tblCellMar>
        </w:tblPrEx>
        <w:trPr>
          <w:trHeight w:val="39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Ⅰ级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383</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25.53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11.66%</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343</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22.87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305</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20.33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-11.08%</w:t>
            </w:r>
          </w:p>
        </w:tc>
      </w:tr>
      <w:tr>
        <w:tblPrEx>
          <w:tblCellMar>
            <w:top w:w="0" w:type="dxa"/>
            <w:left w:w="0" w:type="dxa"/>
            <w:bottom w:w="0" w:type="dxa"/>
            <w:right w:w="0" w:type="dxa"/>
          </w:tblCellMar>
        </w:tblPrEx>
        <w:trPr>
          <w:trHeight w:val="39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Ⅱ级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305</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20.33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8.93%</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280</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18.67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255</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17.00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-8.93%</w:t>
            </w:r>
          </w:p>
        </w:tc>
      </w:tr>
      <w:tr>
        <w:tblPrEx>
          <w:tblCellMar>
            <w:top w:w="0" w:type="dxa"/>
            <w:left w:w="0" w:type="dxa"/>
            <w:bottom w:w="0" w:type="dxa"/>
            <w:right w:w="0" w:type="dxa"/>
          </w:tblCellMar>
        </w:tblPrEx>
        <w:trPr>
          <w:trHeight w:val="397" w:hRule="atLeast"/>
        </w:trPr>
        <w:tc>
          <w:tcPr>
            <w:tcW w:w="5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Ⅲ级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255</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17.00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8.51%</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235</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15.67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217</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14.47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-7.66%</w:t>
            </w:r>
          </w:p>
        </w:tc>
      </w:tr>
    </w:tbl>
    <w:p>
      <w:pPr>
        <w:spacing w:line="360" w:lineRule="auto"/>
        <w:ind w:firstLine="420" w:firstLineChars="200"/>
        <w:jc w:val="center"/>
        <w:rPr>
          <w:rFonts w:eastAsia="黑体"/>
          <w:sz w:val="21"/>
          <w:szCs w:val="21"/>
          <w:lang w:eastAsia="zh-CN"/>
        </w:rPr>
      </w:pPr>
    </w:p>
    <w:p>
      <w:pPr>
        <w:spacing w:line="360" w:lineRule="auto"/>
        <w:ind w:firstLine="420" w:firstLineChars="200"/>
        <w:jc w:val="center"/>
        <w:rPr>
          <w:rFonts w:eastAsia="黑体"/>
          <w:sz w:val="21"/>
          <w:szCs w:val="21"/>
          <w:lang w:eastAsia="zh-CN"/>
        </w:rPr>
      </w:pPr>
      <w:r>
        <w:rPr>
          <w:rFonts w:eastAsia="黑体"/>
          <w:sz w:val="21"/>
          <w:szCs w:val="21"/>
          <w:lang w:eastAsia="zh-CN"/>
        </w:rPr>
        <w:t>表</w:t>
      </w:r>
      <w:r>
        <w:rPr>
          <w:rFonts w:hint="eastAsia" w:eastAsia="黑体"/>
          <w:sz w:val="21"/>
          <w:szCs w:val="21"/>
          <w:lang w:val="en-US" w:eastAsia="zh-CN"/>
        </w:rPr>
        <w:t>2</w:t>
      </w:r>
      <w:r>
        <w:rPr>
          <w:rFonts w:eastAsia="黑体"/>
          <w:sz w:val="21"/>
          <w:szCs w:val="21"/>
          <w:lang w:eastAsia="zh-CN"/>
        </w:rPr>
        <w:t xml:space="preserve"> </w:t>
      </w:r>
      <w:r>
        <w:rPr>
          <w:rFonts w:hint="eastAsia" w:eastAsia="黑体"/>
          <w:sz w:val="21"/>
          <w:szCs w:val="21"/>
          <w:lang w:eastAsia="zh-CN"/>
        </w:rPr>
        <w:t>广灵县集体建设用地（宅基地）</w:t>
      </w:r>
      <w:r>
        <w:rPr>
          <w:rFonts w:eastAsia="黑体"/>
          <w:sz w:val="21"/>
          <w:szCs w:val="21"/>
          <w:lang w:eastAsia="zh-CN"/>
        </w:rPr>
        <w:t>基准地价</w:t>
      </w:r>
      <w:r>
        <w:rPr>
          <w:rFonts w:hint="eastAsia" w:eastAsia="黑体"/>
          <w:sz w:val="21"/>
          <w:szCs w:val="21"/>
          <w:lang w:val="zh-CN" w:eastAsia="zh-CN"/>
        </w:rPr>
        <w:t>修正幅度值</w:t>
      </w:r>
    </w:p>
    <w:tbl>
      <w:tblPr>
        <w:tblStyle w:val="5"/>
        <w:tblW w:w="0" w:type="auto"/>
        <w:tblInd w:w="0" w:type="dxa"/>
        <w:tblLayout w:type="fixed"/>
        <w:tblCellMar>
          <w:top w:w="0" w:type="dxa"/>
          <w:left w:w="0" w:type="dxa"/>
          <w:bottom w:w="0" w:type="dxa"/>
          <w:right w:w="0" w:type="dxa"/>
        </w:tblCellMar>
      </w:tblPr>
      <w:tblGrid>
        <w:gridCol w:w="563"/>
        <w:gridCol w:w="960"/>
        <w:gridCol w:w="961"/>
        <w:gridCol w:w="968"/>
        <w:gridCol w:w="961"/>
        <w:gridCol w:w="966"/>
        <w:gridCol w:w="962"/>
        <w:gridCol w:w="962"/>
        <w:gridCol w:w="974"/>
      </w:tblGrid>
      <w:tr>
        <w:tblPrEx>
          <w:tblCellMar>
            <w:top w:w="0" w:type="dxa"/>
            <w:left w:w="0" w:type="dxa"/>
            <w:bottom w:w="0" w:type="dxa"/>
            <w:right w:w="0" w:type="dxa"/>
          </w:tblCellMar>
        </w:tblPrEx>
        <w:trPr>
          <w:trHeight w:val="397" w:hRule="atLeast"/>
        </w:trPr>
        <w:tc>
          <w:tcPr>
            <w:tcW w:w="56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级别</w:t>
            </w:r>
          </w:p>
        </w:tc>
        <w:tc>
          <w:tcPr>
            <w:tcW w:w="2889"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上限</w:t>
            </w:r>
          </w:p>
        </w:tc>
        <w:tc>
          <w:tcPr>
            <w:tcW w:w="192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基准地价</w:t>
            </w:r>
          </w:p>
        </w:tc>
        <w:tc>
          <w:tcPr>
            <w:tcW w:w="289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下限</w:t>
            </w:r>
          </w:p>
        </w:tc>
      </w:tr>
      <w:tr>
        <w:tblPrEx>
          <w:tblCellMar>
            <w:top w:w="0" w:type="dxa"/>
            <w:left w:w="0" w:type="dxa"/>
            <w:bottom w:w="0" w:type="dxa"/>
            <w:right w:w="0" w:type="dxa"/>
          </w:tblCellMar>
        </w:tblPrEx>
        <w:trPr>
          <w:trHeight w:val="397" w:hRule="atLeast"/>
        </w:trPr>
        <w:tc>
          <w:tcPr>
            <w:tcW w:w="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仿宋_GB2312" w:cs="Times New Roman"/>
                <w:bCs/>
                <w:sz w:val="18"/>
                <w:szCs w:val="18"/>
              </w:rPr>
            </w:pPr>
          </w:p>
        </w:tc>
        <w:tc>
          <w:tcPr>
            <w:tcW w:w="9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上调幅度</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下调幅度</w:t>
            </w:r>
          </w:p>
        </w:tc>
      </w:tr>
      <w:tr>
        <w:tblPrEx>
          <w:tblCellMar>
            <w:top w:w="0" w:type="dxa"/>
            <w:left w:w="0" w:type="dxa"/>
            <w:bottom w:w="0" w:type="dxa"/>
            <w:right w:w="0" w:type="dxa"/>
          </w:tblCellMar>
        </w:tblPrEx>
        <w:trPr>
          <w:trHeight w:val="397" w:hRule="atLeast"/>
        </w:trPr>
        <w:tc>
          <w:tcPr>
            <w:tcW w:w="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Ⅰ级</w:t>
            </w:r>
          </w:p>
        </w:tc>
        <w:tc>
          <w:tcPr>
            <w:tcW w:w="9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194</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12.93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7.78%</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180</w:t>
            </w:r>
          </w:p>
        </w:tc>
        <w:tc>
          <w:tcPr>
            <w:tcW w:w="9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12.00 </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165</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11.00 </w:t>
            </w:r>
          </w:p>
        </w:tc>
        <w:tc>
          <w:tcPr>
            <w:tcW w:w="9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-8.33%</w:t>
            </w:r>
          </w:p>
        </w:tc>
      </w:tr>
      <w:tr>
        <w:tblPrEx>
          <w:tblCellMar>
            <w:top w:w="0" w:type="dxa"/>
            <w:left w:w="0" w:type="dxa"/>
            <w:bottom w:w="0" w:type="dxa"/>
            <w:right w:w="0" w:type="dxa"/>
          </w:tblCellMar>
        </w:tblPrEx>
        <w:trPr>
          <w:trHeight w:val="397" w:hRule="atLeast"/>
        </w:trPr>
        <w:tc>
          <w:tcPr>
            <w:tcW w:w="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Ⅱ级</w:t>
            </w:r>
          </w:p>
        </w:tc>
        <w:tc>
          <w:tcPr>
            <w:tcW w:w="9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165</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11.00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8.55%</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152</w:t>
            </w:r>
          </w:p>
        </w:tc>
        <w:tc>
          <w:tcPr>
            <w:tcW w:w="9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10.13 </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137</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9.13 </w:t>
            </w:r>
          </w:p>
        </w:tc>
        <w:tc>
          <w:tcPr>
            <w:tcW w:w="9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-9.87%</w:t>
            </w:r>
          </w:p>
        </w:tc>
      </w:tr>
      <w:tr>
        <w:tblPrEx>
          <w:tblCellMar>
            <w:top w:w="0" w:type="dxa"/>
            <w:left w:w="0" w:type="dxa"/>
            <w:bottom w:w="0" w:type="dxa"/>
            <w:right w:w="0" w:type="dxa"/>
          </w:tblCellMar>
        </w:tblPrEx>
        <w:trPr>
          <w:trHeight w:val="397" w:hRule="atLeast"/>
        </w:trPr>
        <w:tc>
          <w:tcPr>
            <w:tcW w:w="5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Ⅲ级</w:t>
            </w:r>
          </w:p>
        </w:tc>
        <w:tc>
          <w:tcPr>
            <w:tcW w:w="9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137</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9.13 </w:t>
            </w:r>
          </w:p>
        </w:tc>
        <w:tc>
          <w:tcPr>
            <w:tcW w:w="9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8.73%</w:t>
            </w:r>
          </w:p>
        </w:tc>
        <w:tc>
          <w:tcPr>
            <w:tcW w:w="9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126</w:t>
            </w:r>
          </w:p>
        </w:tc>
        <w:tc>
          <w:tcPr>
            <w:tcW w:w="9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8.40 </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115</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7.67 </w:t>
            </w:r>
          </w:p>
        </w:tc>
        <w:tc>
          <w:tcPr>
            <w:tcW w:w="9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-8.73%</w:t>
            </w:r>
          </w:p>
        </w:tc>
      </w:tr>
    </w:tbl>
    <w:p>
      <w:pPr>
        <w:spacing w:line="360" w:lineRule="auto"/>
        <w:ind w:firstLine="420" w:firstLineChars="200"/>
        <w:jc w:val="center"/>
        <w:rPr>
          <w:rFonts w:eastAsia="黑体"/>
          <w:sz w:val="21"/>
          <w:szCs w:val="21"/>
          <w:lang w:eastAsia="zh-CN"/>
        </w:rPr>
      </w:pPr>
    </w:p>
    <w:p>
      <w:pPr>
        <w:spacing w:line="360" w:lineRule="auto"/>
        <w:ind w:firstLine="420" w:firstLineChars="200"/>
        <w:jc w:val="center"/>
        <w:rPr>
          <w:rFonts w:eastAsia="黑体"/>
          <w:sz w:val="21"/>
          <w:szCs w:val="21"/>
          <w:lang w:eastAsia="zh-CN"/>
        </w:rPr>
      </w:pPr>
      <w:r>
        <w:rPr>
          <w:rFonts w:eastAsia="黑体"/>
          <w:sz w:val="21"/>
          <w:szCs w:val="21"/>
          <w:lang w:eastAsia="zh-CN"/>
        </w:rPr>
        <w:t>表</w:t>
      </w:r>
      <w:r>
        <w:rPr>
          <w:rFonts w:hint="eastAsia" w:eastAsia="黑体"/>
          <w:sz w:val="21"/>
          <w:szCs w:val="21"/>
          <w:lang w:val="en-US" w:eastAsia="zh-CN"/>
        </w:rPr>
        <w:t>3</w:t>
      </w:r>
      <w:r>
        <w:rPr>
          <w:rFonts w:hint="eastAsia" w:eastAsia="黑体"/>
          <w:sz w:val="21"/>
          <w:szCs w:val="21"/>
          <w:lang w:eastAsia="zh-CN"/>
        </w:rPr>
        <w:t xml:space="preserve"> 广灵县集体建设用地（工业用地）</w:t>
      </w:r>
      <w:r>
        <w:rPr>
          <w:rFonts w:eastAsia="黑体"/>
          <w:sz w:val="21"/>
          <w:szCs w:val="21"/>
          <w:lang w:eastAsia="zh-CN"/>
        </w:rPr>
        <w:t>基准地价</w:t>
      </w:r>
      <w:r>
        <w:rPr>
          <w:rFonts w:hint="eastAsia" w:eastAsia="黑体"/>
          <w:sz w:val="21"/>
          <w:szCs w:val="21"/>
          <w:lang w:val="zh-CN" w:eastAsia="zh-CN"/>
        </w:rPr>
        <w:t>修正幅度值</w:t>
      </w:r>
    </w:p>
    <w:tbl>
      <w:tblPr>
        <w:tblStyle w:val="5"/>
        <w:tblW w:w="0" w:type="auto"/>
        <w:tblInd w:w="0" w:type="dxa"/>
        <w:tblLayout w:type="fixed"/>
        <w:tblCellMar>
          <w:top w:w="0" w:type="dxa"/>
          <w:left w:w="0" w:type="dxa"/>
          <w:bottom w:w="0" w:type="dxa"/>
          <w:right w:w="0" w:type="dxa"/>
        </w:tblCellMar>
      </w:tblPr>
      <w:tblGrid>
        <w:gridCol w:w="569"/>
        <w:gridCol w:w="962"/>
        <w:gridCol w:w="963"/>
        <w:gridCol w:w="964"/>
        <w:gridCol w:w="963"/>
        <w:gridCol w:w="963"/>
        <w:gridCol w:w="963"/>
        <w:gridCol w:w="963"/>
        <w:gridCol w:w="967"/>
      </w:tblGrid>
      <w:tr>
        <w:tblPrEx>
          <w:tblCellMar>
            <w:top w:w="0" w:type="dxa"/>
            <w:left w:w="0" w:type="dxa"/>
            <w:bottom w:w="0" w:type="dxa"/>
            <w:right w:w="0" w:type="dxa"/>
          </w:tblCellMar>
        </w:tblPrEx>
        <w:trPr>
          <w:trHeight w:val="397" w:hRule="atLeast"/>
        </w:trPr>
        <w:tc>
          <w:tcPr>
            <w:tcW w:w="56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级别</w:t>
            </w:r>
          </w:p>
        </w:tc>
        <w:tc>
          <w:tcPr>
            <w:tcW w:w="2889"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上限</w:t>
            </w:r>
          </w:p>
        </w:tc>
        <w:tc>
          <w:tcPr>
            <w:tcW w:w="192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基准地价</w:t>
            </w:r>
          </w:p>
        </w:tc>
        <w:tc>
          <w:tcPr>
            <w:tcW w:w="2893"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下限</w:t>
            </w:r>
          </w:p>
        </w:tc>
      </w:tr>
      <w:tr>
        <w:tblPrEx>
          <w:tblCellMar>
            <w:top w:w="0" w:type="dxa"/>
            <w:left w:w="0" w:type="dxa"/>
            <w:bottom w:w="0" w:type="dxa"/>
            <w:right w:w="0" w:type="dxa"/>
          </w:tblCellMar>
        </w:tblPrEx>
        <w:trPr>
          <w:trHeight w:val="397" w:hRule="atLeast"/>
        </w:trPr>
        <w:tc>
          <w:tcPr>
            <w:tcW w:w="56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仿宋_GB2312" w:cs="Times New Roman"/>
                <w:bCs/>
                <w:sz w:val="18"/>
                <w:szCs w:val="18"/>
              </w:rPr>
            </w:pP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上调幅度</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元/m</w:t>
            </w:r>
            <w:r>
              <w:rPr>
                <w:rFonts w:hint="default" w:ascii="Times New Roman" w:hAnsi="Times New Roman" w:eastAsia="仿宋_GB2312" w:cs="Times New Roman"/>
                <w:bCs/>
                <w:kern w:val="0"/>
                <w:sz w:val="18"/>
                <w:szCs w:val="18"/>
                <w:vertAlign w:val="superscript"/>
                <w:lang w:eastAsia="zh-CN" w:bidi="ar"/>
              </w:rPr>
              <w:t>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万元/亩</w:t>
            </w:r>
          </w:p>
        </w:tc>
        <w:tc>
          <w:tcPr>
            <w:tcW w:w="9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下调幅度</w:t>
            </w:r>
          </w:p>
        </w:tc>
      </w:tr>
      <w:tr>
        <w:tblPrEx>
          <w:tblCellMar>
            <w:top w:w="0" w:type="dxa"/>
            <w:left w:w="0" w:type="dxa"/>
            <w:bottom w:w="0" w:type="dxa"/>
            <w:right w:w="0" w:type="dxa"/>
          </w:tblCellMar>
        </w:tblPrEx>
        <w:trPr>
          <w:trHeight w:val="397" w:hRule="atLeast"/>
        </w:trPr>
        <w:tc>
          <w:tcPr>
            <w:tcW w:w="5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Ⅰ级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166</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11.07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7.79%</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154</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10.27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141</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9.40 </w:t>
            </w:r>
          </w:p>
        </w:tc>
        <w:tc>
          <w:tcPr>
            <w:tcW w:w="9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-8.44%</w:t>
            </w:r>
          </w:p>
        </w:tc>
      </w:tr>
      <w:tr>
        <w:tblPrEx>
          <w:tblCellMar>
            <w:top w:w="0" w:type="dxa"/>
            <w:left w:w="0" w:type="dxa"/>
            <w:bottom w:w="0" w:type="dxa"/>
            <w:right w:w="0" w:type="dxa"/>
          </w:tblCellMar>
        </w:tblPrEx>
        <w:trPr>
          <w:trHeight w:val="397" w:hRule="atLeast"/>
        </w:trPr>
        <w:tc>
          <w:tcPr>
            <w:tcW w:w="5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Ⅱ级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141</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9.40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6.82%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132</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8.80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123</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8.20 </w:t>
            </w:r>
          </w:p>
        </w:tc>
        <w:tc>
          <w:tcPr>
            <w:tcW w:w="9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-6.82%</w:t>
            </w:r>
          </w:p>
        </w:tc>
      </w:tr>
      <w:tr>
        <w:tblPrEx>
          <w:tblCellMar>
            <w:top w:w="0" w:type="dxa"/>
            <w:left w:w="0" w:type="dxa"/>
            <w:bottom w:w="0" w:type="dxa"/>
            <w:right w:w="0" w:type="dxa"/>
          </w:tblCellMar>
        </w:tblPrEx>
        <w:trPr>
          <w:trHeight w:val="397" w:hRule="atLeast"/>
        </w:trPr>
        <w:tc>
          <w:tcPr>
            <w:tcW w:w="5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sz w:val="18"/>
                <w:szCs w:val="18"/>
              </w:rPr>
            </w:pPr>
            <w:r>
              <w:rPr>
                <w:rFonts w:hint="default" w:ascii="Times New Roman" w:hAnsi="Times New Roman" w:eastAsia="仿宋_GB2312" w:cs="Times New Roman"/>
                <w:bCs/>
                <w:kern w:val="0"/>
                <w:sz w:val="18"/>
                <w:szCs w:val="18"/>
                <w:lang w:eastAsia="zh-CN" w:bidi="ar"/>
              </w:rPr>
              <w:t>Ⅲ级</w:t>
            </w:r>
          </w:p>
        </w:tc>
        <w:tc>
          <w:tcPr>
            <w:tcW w:w="9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123</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8.20 </w:t>
            </w:r>
          </w:p>
        </w:tc>
        <w:tc>
          <w:tcPr>
            <w:tcW w:w="9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7.89%</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114</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7.60 </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104</w:t>
            </w:r>
          </w:p>
        </w:tc>
        <w:tc>
          <w:tcPr>
            <w:tcW w:w="9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 xml:space="preserve">6.93 </w:t>
            </w:r>
          </w:p>
        </w:tc>
        <w:tc>
          <w:tcPr>
            <w:tcW w:w="9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Cs/>
                <w:kern w:val="0"/>
                <w:sz w:val="18"/>
                <w:szCs w:val="18"/>
                <w:lang w:eastAsia="zh-CN" w:bidi="ar"/>
              </w:rPr>
            </w:pPr>
            <w:r>
              <w:rPr>
                <w:rFonts w:ascii="Times New Roman" w:hAnsi="Times New Roman" w:eastAsia="仿宋_GB2312" w:cs="Times New Roman"/>
                <w:bCs/>
                <w:kern w:val="0"/>
                <w:sz w:val="18"/>
                <w:szCs w:val="18"/>
                <w:lang w:eastAsia="zh-CN" w:bidi="ar"/>
              </w:rPr>
              <w:t>-8.77%</w:t>
            </w:r>
          </w:p>
        </w:tc>
      </w:tr>
    </w:tbl>
    <w:p>
      <w:pPr>
        <w:pStyle w:val="3"/>
        <w:spacing w:line="360" w:lineRule="auto"/>
        <w:ind w:left="0" w:leftChars="0" w:firstLine="0" w:firstLineChars="0"/>
        <w:jc w:val="center"/>
        <w:rPr>
          <w:rFonts w:hint="default" w:ascii="Times New Roman" w:hAnsi="Times New Roman" w:cs="Times New Roman"/>
          <w:spacing w:val="-2"/>
          <w:sz w:val="28"/>
          <w:szCs w:val="28"/>
          <w:lang w:val="en-US" w:eastAsia="zh-CN"/>
        </w:rPr>
      </w:pPr>
    </w:p>
    <w:p>
      <w:pPr>
        <w:pStyle w:val="3"/>
        <w:spacing w:line="360" w:lineRule="auto"/>
        <w:ind w:left="0" w:leftChars="0" w:firstLine="0" w:firstLineChars="0"/>
        <w:jc w:val="left"/>
        <w:rPr>
          <w:rFonts w:hint="default" w:ascii="Times New Roman" w:hAnsi="Times New Roman" w:cs="Times New Roman"/>
          <w:spacing w:val="-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EC9636"/>
    <w:multiLevelType w:val="singleLevel"/>
    <w:tmpl w:val="AEEC963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YTk3N2NjYTUwY2YwOTU4ZjRkN2IyMTgyZjhjNDkifQ=="/>
  </w:docVars>
  <w:rsids>
    <w:rsidRoot w:val="00000000"/>
    <w:rsid w:val="0223639D"/>
    <w:rsid w:val="02DD1A2B"/>
    <w:rsid w:val="032B2AA3"/>
    <w:rsid w:val="04001E75"/>
    <w:rsid w:val="045126D0"/>
    <w:rsid w:val="046E3282"/>
    <w:rsid w:val="0658414F"/>
    <w:rsid w:val="09F352BE"/>
    <w:rsid w:val="0B247C6B"/>
    <w:rsid w:val="0F563291"/>
    <w:rsid w:val="136A2E67"/>
    <w:rsid w:val="153C6FDF"/>
    <w:rsid w:val="1566097E"/>
    <w:rsid w:val="196F567B"/>
    <w:rsid w:val="19B03C1C"/>
    <w:rsid w:val="1A9600F7"/>
    <w:rsid w:val="1BB144FC"/>
    <w:rsid w:val="1F132604"/>
    <w:rsid w:val="1F6A069F"/>
    <w:rsid w:val="215F7D35"/>
    <w:rsid w:val="24343749"/>
    <w:rsid w:val="26467763"/>
    <w:rsid w:val="26DF742E"/>
    <w:rsid w:val="2A41096D"/>
    <w:rsid w:val="2A663F30"/>
    <w:rsid w:val="2B5841C1"/>
    <w:rsid w:val="2F60503D"/>
    <w:rsid w:val="315C7E3B"/>
    <w:rsid w:val="36F55F5E"/>
    <w:rsid w:val="3B4A2D5A"/>
    <w:rsid w:val="3EAC61BD"/>
    <w:rsid w:val="45424141"/>
    <w:rsid w:val="4622764B"/>
    <w:rsid w:val="46623CEE"/>
    <w:rsid w:val="4CCF6C44"/>
    <w:rsid w:val="54996B2C"/>
    <w:rsid w:val="5AB02E22"/>
    <w:rsid w:val="5B6836FC"/>
    <w:rsid w:val="5B6A1223"/>
    <w:rsid w:val="5B9B5880"/>
    <w:rsid w:val="5D7874FB"/>
    <w:rsid w:val="62572603"/>
    <w:rsid w:val="697C6C61"/>
    <w:rsid w:val="6A7F011B"/>
    <w:rsid w:val="6C735A5D"/>
    <w:rsid w:val="7A9B2D4F"/>
    <w:rsid w:val="7EBC1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Body Text Indent"/>
    <w:basedOn w:val="1"/>
    <w:autoRedefine/>
    <w:semiHidden/>
    <w:qFormat/>
    <w:uiPriority w:val="0"/>
    <w:pPr>
      <w:spacing w:line="340" w:lineRule="exact"/>
      <w:ind w:firstLine="601"/>
    </w:pPr>
    <w:rPr>
      <w:sz w:val="24"/>
      <w:lang w:val="zh-CN"/>
    </w:rPr>
  </w:style>
  <w:style w:type="paragraph" w:styleId="4">
    <w:name w:val="Body Text First Indent"/>
    <w:basedOn w:val="1"/>
    <w:autoRedefine/>
    <w:semiHidden/>
    <w:qFormat/>
    <w:uiPriority w:val="0"/>
    <w:pPr>
      <w:spacing w:line="340" w:lineRule="exact"/>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2023-10-16T12:22:00Z</dcterms:created>
  <dc:creator>12205</dc:creator>
  <cp:lastModifiedBy>小西西</cp:lastModifiedBy>
  <dcterms:modified xsi:type="dcterms:W3CDTF">2023-12-15T02:46:27Z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30C1F96D66B440FA9103C9B2FDD376C1_12</vt:lpwstr>
  </property>
</Properties>
</file>